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44"/>
          <w:szCs w:val="44"/>
          <w:u w:val="none"/>
          <w:shd w:val="clear" w:fill="FFFFFF"/>
          <w:lang w:val="en-US" w:eastAsia="zh-CN"/>
        </w:rPr>
      </w:pPr>
      <w:r>
        <w:rPr>
          <w:rFonts w:hint="eastAsia" w:ascii="方正小标宋简体" w:hAnsi="方正小标宋简体" w:eastAsia="方正小标宋简体" w:cs="方正小标宋简体"/>
          <w:b w:val="0"/>
          <w:bCs/>
          <w:i w:val="0"/>
          <w:caps w:val="0"/>
          <w:color w:val="000000"/>
          <w:spacing w:val="0"/>
          <w:sz w:val="44"/>
          <w:szCs w:val="44"/>
          <w:u w:val="none"/>
          <w:shd w:val="clear" w:fill="FFFFFF"/>
          <w:lang w:val="en-US" w:eastAsia="zh-CN"/>
        </w:rPr>
        <w:t>2020年教育部高考加分政策</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45.有下列情形之一的考生，省级招委会可根据本地投档录取办法决定，在其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（1）烈士子女；</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46.自主就业的退役士兵，可在其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47.同时符合第45条、第46条有关情形的考生，只能取其中幅度最大的一项分值。</w:t>
      </w:r>
    </w:p>
    <w:p>
      <w:pPr>
        <w:spacing w:line="560" w:lineRule="exact"/>
        <w:ind w:firstLine="645"/>
        <w:rPr>
          <w:rFonts w:hint="default" w:ascii="Times New Roman" w:hAnsi="Times New Roman" w:eastAsia="仿宋_GB2312"/>
          <w:sz w:val="32"/>
          <w:szCs w:val="32"/>
          <w:lang w:val="en-US" w:eastAsia="zh-CN"/>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仅适用于向本省（区、市）所属高校投档时使用，且分值不得超过20分，同时不得与其他项目分值（包括第45条、第46条规定的分值）累加。</w:t>
      </w:r>
      <w:r>
        <w:rPr>
          <w:rFonts w:hint="eastAsia" w:ascii="Times New Roman" w:hAnsi="Times New Roman" w:eastAsia="仿宋_GB2312"/>
          <w:sz w:val="32"/>
          <w:szCs w:val="32"/>
        </w:rPr>
        <w:t>所有高考加分项目及分值均不得用于不安排分省分专业招生计划的招生项目。</w:t>
      </w:r>
      <w:bookmarkStart w:id="0" w:name="_GoBack"/>
      <w:bookmarkEnd w:id="0"/>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563AF1"/>
    <w:rsid w:val="2B3916F8"/>
    <w:rsid w:val="34A033CC"/>
    <w:rsid w:val="41006487"/>
    <w:rsid w:val="434D591B"/>
    <w:rsid w:val="5400477C"/>
    <w:rsid w:val="66223BA1"/>
    <w:rsid w:val="6FA50AD2"/>
    <w:rsid w:val="773B2DA6"/>
    <w:rsid w:val="7D482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223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2021-02-24T07:13:00Z</dcterms:created>
  <dc:creator>Administrator</dc:creator>
  <cp:lastModifiedBy>Administrator</cp:lastModifiedBy>
  <dcterms:modified xsi:type="dcterms:W3CDTF">2021-02-25T10:05:58Z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